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77777777" w:rsidR="00A8548D" w:rsidRDefault="003E0C23" w:rsidP="003E0C23">
      <w:pPr>
        <w:spacing w:after="120" w:line="240" w:lineRule="auto"/>
        <w:ind w:right="28"/>
        <w:jc w:val="center"/>
        <w:rPr>
          <w:rFonts w:ascii="Verdana" w:eastAsia="Times New Roman" w:hAnsi="Verdana" w:cs="Arial"/>
          <w:b/>
          <w:bCs/>
          <w:color w:val="002060"/>
          <w:sz w:val="28"/>
          <w:szCs w:val="28"/>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440AFB76" w14:textId="79E31803"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Rcsostblzat"/>
        <w:tblW w:w="11199" w:type="dxa"/>
        <w:tblInd w:w="-318" w:type="dxa"/>
        <w:tblLook w:val="04A0" w:firstRow="1" w:lastRow="0" w:firstColumn="1" w:lastColumn="0" w:noHBand="0" w:noVBand="1"/>
      </w:tblPr>
      <w:tblGrid>
        <w:gridCol w:w="1529"/>
        <w:gridCol w:w="1562"/>
        <w:gridCol w:w="1417"/>
        <w:gridCol w:w="521"/>
        <w:gridCol w:w="1336"/>
        <w:gridCol w:w="1603"/>
        <w:gridCol w:w="657"/>
        <w:gridCol w:w="2574"/>
      </w:tblGrid>
      <w:tr w:rsidR="00150552"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150552"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41C08F98"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150552"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150552"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150552"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150552"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D1DFFF8" w:rsidR="00E4761F" w:rsidRPr="00150552" w:rsidRDefault="00150552" w:rsidP="00150552">
            <w:pPr>
              <w:rPr>
                <w:rFonts w:ascii="Calibri" w:hAnsi="Calibri" w:cs="Times New Roman"/>
                <w:color w:val="000000"/>
                <w:sz w:val="16"/>
                <w:szCs w:val="16"/>
                <w:lang w:val="fr-BE" w:eastAsia="en-GB"/>
              </w:rPr>
            </w:pPr>
            <w:r w:rsidRPr="00150552">
              <w:rPr>
                <w:lang w:val="en-GB"/>
              </w:rPr>
              <w:t>Hungarian University of Agriculture and Life Sciences (MATE)</w:t>
            </w:r>
          </w:p>
        </w:tc>
        <w:tc>
          <w:tcPr>
            <w:tcW w:w="1949" w:type="dxa"/>
            <w:gridSpan w:val="2"/>
          </w:tcPr>
          <w:p w14:paraId="34CE0A41" w14:textId="0F9A62BD" w:rsidR="00E4761F" w:rsidRDefault="00150552" w:rsidP="00150552">
            <w:pPr>
              <w:rPr>
                <w:lang w:val="en-GB"/>
              </w:rPr>
            </w:pPr>
            <w:r w:rsidRPr="00150552">
              <w:rPr>
                <w:lang w:val="en-GB"/>
              </w:rPr>
              <w:t>International Relations Centre</w:t>
            </w:r>
          </w:p>
        </w:tc>
        <w:tc>
          <w:tcPr>
            <w:tcW w:w="1251" w:type="dxa"/>
          </w:tcPr>
          <w:p w14:paraId="62EBF3C5" w14:textId="0245DF8F" w:rsidR="00E4761F" w:rsidRDefault="00150552" w:rsidP="00150552">
            <w:pPr>
              <w:rPr>
                <w:lang w:val="en-GB"/>
              </w:rPr>
            </w:pPr>
            <w:r>
              <w:rPr>
                <w:lang w:val="en-GB"/>
              </w:rPr>
              <w:t>HU GODOLLO01</w:t>
            </w:r>
          </w:p>
        </w:tc>
        <w:tc>
          <w:tcPr>
            <w:tcW w:w="1619" w:type="dxa"/>
          </w:tcPr>
          <w:p w14:paraId="6D98A12B" w14:textId="460FE695" w:rsidR="00E4761F" w:rsidRDefault="00150552" w:rsidP="00150552">
            <w:pPr>
              <w:rPr>
                <w:lang w:val="en-GB"/>
              </w:rPr>
            </w:pPr>
            <w:r>
              <w:rPr>
                <w:lang w:val="en-GB"/>
              </w:rPr>
              <w:t>Hungary/ HU</w:t>
            </w:r>
          </w:p>
        </w:tc>
        <w:tc>
          <w:tcPr>
            <w:tcW w:w="3260" w:type="dxa"/>
            <w:gridSpan w:val="2"/>
          </w:tcPr>
          <w:p w14:paraId="2946DB82" w14:textId="4867A223" w:rsidR="00E4761F" w:rsidRDefault="00150552" w:rsidP="00150552">
            <w:pPr>
              <w:rPr>
                <w:lang w:val="en-GB"/>
              </w:rPr>
            </w:pPr>
            <w:r>
              <w:rPr>
                <w:lang w:val="en-GB"/>
              </w:rPr>
              <w:t xml:space="preserve">Beáta Farkas- Erasmus coordinator ; </w:t>
            </w:r>
            <w:hyperlink r:id="rId12" w:history="1">
              <w:r w:rsidRPr="00E63282">
                <w:rPr>
                  <w:rStyle w:val="Hiperhivatkozs"/>
                  <w:lang w:val="en-GB"/>
                </w:rPr>
                <w:t>farkas.beata.god@uni-mate.hu</w:t>
              </w:r>
            </w:hyperlink>
            <w:r>
              <w:rPr>
                <w:lang w:val="en-GB"/>
              </w:rPr>
              <w:t>; +3628-522-000/3888 ext.</w:t>
            </w:r>
          </w:p>
        </w:tc>
      </w:tr>
      <w:tr w:rsidR="00150552"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150552"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Rcsostblzat"/>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aszerbekezds"/>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aszerbekezds"/>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24247885"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Rcsostblza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Rcsostblza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3C1C9728"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2FDFBA57" w14:textId="34FC6928"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525AFD4B" w14:textId="07B4175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22EF3593" w14:textId="4DE7164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354D8AE3" w14:textId="77777777"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AF2E1A9" w14:textId="77777777"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20C83817" w14:textId="77777777"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Rcsostblzat"/>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700DC888" w14:textId="6596162D"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ayout w:type="fixed"/>
        <w:tblLook w:val="04A0" w:firstRow="1" w:lastRow="0" w:firstColumn="1" w:lastColumn="0" w:noHBand="0" w:noVBand="1"/>
      </w:tblPr>
      <w:tblGrid>
        <w:gridCol w:w="2612"/>
        <w:gridCol w:w="2032"/>
        <w:gridCol w:w="2036"/>
        <w:gridCol w:w="1629"/>
        <w:gridCol w:w="1086"/>
        <w:gridCol w:w="1496"/>
      </w:tblGrid>
      <w:tr w:rsidR="005864AA" w:rsidRPr="00A049C0" w14:paraId="61AA4016" w14:textId="77777777" w:rsidTr="005864A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CF1D77" w14:textId="77777777" w:rsidR="005864AA" w:rsidRPr="002A00C3" w:rsidRDefault="005864AA" w:rsidP="005864A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Jegyzethivatkoz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2A00C3" w14:paraId="320DEBDC" w14:textId="77777777" w:rsidTr="005864A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696E5F"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6BC1F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A09E9A6"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95557F3"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A1BEC8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4DDC6B"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864AA" w:rsidRPr="002A00C3" w14:paraId="7B92843D" w14:textId="77777777" w:rsidTr="005864A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1E1B7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D111F3E" w14:textId="77777777" w:rsidR="005864AA" w:rsidRPr="00784E7F" w:rsidRDefault="005864AA" w:rsidP="005864A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4E8540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p w14:paraId="5FEC8DD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109A61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36141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7AE0F6C"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03D11B7E" w14:textId="77777777" w:rsidTr="005864A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EE8087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69A14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2285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7795C5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D7939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A463E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3FD3637C" w14:textId="77777777" w:rsidTr="005864A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8186C7F"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C06EEB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100031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883A728"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B0718A" w14:textId="77777777" w:rsidR="005864AA" w:rsidRPr="002A00C3" w:rsidRDefault="005864AA" w:rsidP="005864A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50083F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15055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15055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15055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15055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15055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15055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15055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15055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Rcsostblzat"/>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aszerbekezds"/>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Rcsostblzat"/>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iperhivatkozs"/>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Lbjegyzetszveg"/>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iperhivatkozs"/>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iperhivatkozs"/>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Vgjegyzetszvege"/>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0962495C" w:rsidR="00EA0171" w:rsidRPr="00EA0171" w:rsidRDefault="00EA0171" w:rsidP="00EA0171">
            <w:pPr>
              <w:pStyle w:val="Lbjegyzetszveg"/>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iperhivatkozs"/>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iperhivatkozs"/>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Vgjegyzetszveg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iperhivatkozs"/>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Lbjegyzetszveg"/>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Lbjegyzetszveg"/>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134D69"/>
    <w:rsid w:val="001424A8"/>
    <w:rsid w:val="00150552"/>
    <w:rsid w:val="00174F66"/>
    <w:rsid w:val="00181968"/>
    <w:rsid w:val="0019347D"/>
    <w:rsid w:val="001A5F47"/>
    <w:rsid w:val="001C792B"/>
    <w:rsid w:val="001D107C"/>
    <w:rsid w:val="00236998"/>
    <w:rsid w:val="00244302"/>
    <w:rsid w:val="002C5273"/>
    <w:rsid w:val="002E1905"/>
    <w:rsid w:val="00314133"/>
    <w:rsid w:val="0035116B"/>
    <w:rsid w:val="003A52FF"/>
    <w:rsid w:val="003D48C6"/>
    <w:rsid w:val="003E0C23"/>
    <w:rsid w:val="003F60C8"/>
    <w:rsid w:val="00413573"/>
    <w:rsid w:val="004B7C5D"/>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50658"/>
    <w:rsid w:val="009654DF"/>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E0C23"/>
    <w:pPr>
      <w:spacing w:after="200" w:line="276" w:lineRule="auto"/>
    </w:pPr>
    <w:rPr>
      <w:lang w:val="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hivatkozs">
    <w:name w:val="Hyperlink"/>
    <w:basedOn w:val="Bekezdsalapbettpusa"/>
    <w:unhideWhenUsed/>
    <w:rsid w:val="003E0C23"/>
    <w:rPr>
      <w:color w:val="0563C1" w:themeColor="hyperlink"/>
      <w:u w:val="single"/>
    </w:rPr>
  </w:style>
  <w:style w:type="table" w:styleId="Rcsostblzat">
    <w:name w:val="Table Grid"/>
    <w:basedOn w:val="Normltblzat"/>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5F66E7"/>
    <w:rPr>
      <w:rFonts w:ascii="Times New Roman" w:eastAsia="Times New Roman" w:hAnsi="Times New Roman" w:cs="Times New Roman"/>
      <w:sz w:val="20"/>
      <w:szCs w:val="20"/>
      <w:lang w:val="fr-FR"/>
    </w:rPr>
  </w:style>
  <w:style w:type="character" w:styleId="Vgjegyzet-hivatkozs">
    <w:name w:val="endnote reference"/>
    <w:rsid w:val="005F66E7"/>
    <w:rPr>
      <w:vertAlign w:val="superscript"/>
    </w:rPr>
  </w:style>
  <w:style w:type="paragraph" w:styleId="Vgjegyzetszvege">
    <w:name w:val="endnote text"/>
    <w:basedOn w:val="Norml"/>
    <w:link w:val="VgjegyzetszvegeChar"/>
    <w:unhideWhenUsed/>
    <w:rsid w:val="005F66E7"/>
    <w:pPr>
      <w:spacing w:after="0" w:line="240" w:lineRule="auto"/>
    </w:pPr>
    <w:rPr>
      <w:sz w:val="20"/>
      <w:szCs w:val="20"/>
    </w:rPr>
  </w:style>
  <w:style w:type="character" w:customStyle="1" w:styleId="VgjegyzetszvegeChar">
    <w:name w:val="Végjegyzet szövege Char"/>
    <w:basedOn w:val="Bekezdsalapbettpusa"/>
    <w:link w:val="Vgjegyzetszvege"/>
    <w:uiPriority w:val="99"/>
    <w:rsid w:val="005F66E7"/>
    <w:rPr>
      <w:sz w:val="20"/>
      <w:szCs w:val="20"/>
      <w:lang w:val="it-IT"/>
    </w:rPr>
  </w:style>
  <w:style w:type="character" w:styleId="Jegyzethivatkozs">
    <w:name w:val="annotation reference"/>
    <w:basedOn w:val="Bekezdsalapbettpusa"/>
    <w:uiPriority w:val="99"/>
    <w:semiHidden/>
    <w:unhideWhenUsed/>
    <w:rsid w:val="005F66E7"/>
    <w:rPr>
      <w:sz w:val="16"/>
      <w:szCs w:val="16"/>
    </w:rPr>
  </w:style>
  <w:style w:type="paragraph" w:styleId="Jegyzetszveg">
    <w:name w:val="annotation text"/>
    <w:basedOn w:val="Norml"/>
    <w:link w:val="JegyzetszvegChar"/>
    <w:unhideWhenUsed/>
    <w:rsid w:val="005F66E7"/>
    <w:pPr>
      <w:spacing w:line="240" w:lineRule="auto"/>
    </w:pPr>
    <w:rPr>
      <w:sz w:val="20"/>
      <w:szCs w:val="20"/>
    </w:rPr>
  </w:style>
  <w:style w:type="character" w:customStyle="1" w:styleId="JegyzetszvegChar">
    <w:name w:val="Jegyzetszöveg Char"/>
    <w:basedOn w:val="Bekezdsalapbettpusa"/>
    <w:link w:val="Jegyzetszveg"/>
    <w:rsid w:val="005F66E7"/>
    <w:rPr>
      <w:sz w:val="20"/>
      <w:szCs w:val="20"/>
      <w:lang w:val="it-IT"/>
    </w:rPr>
  </w:style>
  <w:style w:type="paragraph" w:styleId="Listaszerbekezds">
    <w:name w:val="List Paragraph"/>
    <w:basedOn w:val="Norml"/>
    <w:uiPriority w:val="34"/>
    <w:qFormat/>
    <w:rsid w:val="008667EB"/>
    <w:pPr>
      <w:ind w:left="720"/>
      <w:contextualSpacing/>
    </w:pPr>
  </w:style>
  <w:style w:type="character" w:styleId="Helyrzszveg">
    <w:name w:val="Placeholder Text"/>
    <w:basedOn w:val="Bekezdsalapbettpusa"/>
    <w:uiPriority w:val="99"/>
    <w:semiHidden/>
    <w:rsid w:val="0089316A"/>
    <w:rPr>
      <w:color w:val="808080"/>
    </w:rPr>
  </w:style>
  <w:style w:type="character" w:styleId="Mrltotthiperhivatkozs">
    <w:name w:val="FollowedHyperlink"/>
    <w:basedOn w:val="Bekezdsalapbettpusa"/>
    <w:uiPriority w:val="99"/>
    <w:semiHidden/>
    <w:unhideWhenUsed/>
    <w:rsid w:val="006754AC"/>
    <w:rPr>
      <w:color w:val="954F72" w:themeColor="followedHyperlink"/>
      <w:u w:val="single"/>
    </w:rPr>
  </w:style>
  <w:style w:type="paragraph" w:styleId="Buborkszveg">
    <w:name w:val="Balloon Text"/>
    <w:basedOn w:val="Norml"/>
    <w:link w:val="BuborkszvegChar"/>
    <w:uiPriority w:val="99"/>
    <w:semiHidden/>
    <w:unhideWhenUsed/>
    <w:rsid w:val="00555F03"/>
    <w:pPr>
      <w:spacing w:after="0" w:line="240" w:lineRule="auto"/>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555F03"/>
    <w:rPr>
      <w:rFonts w:ascii="Times New Roman" w:hAnsi="Times New Roman" w:cs="Times New Roman"/>
      <w:sz w:val="18"/>
      <w:szCs w:val="18"/>
      <w:lang w:val="it-IT"/>
    </w:rPr>
  </w:style>
  <w:style w:type="paragraph" w:styleId="lfej">
    <w:name w:val="header"/>
    <w:basedOn w:val="Norml"/>
    <w:link w:val="lfejChar"/>
    <w:uiPriority w:val="99"/>
    <w:semiHidden/>
    <w:unhideWhenUsed/>
    <w:rsid w:val="00A460C8"/>
    <w:pPr>
      <w:tabs>
        <w:tab w:val="center" w:pos="4513"/>
        <w:tab w:val="right" w:pos="9026"/>
      </w:tabs>
      <w:spacing w:after="0" w:line="240" w:lineRule="auto"/>
    </w:pPr>
  </w:style>
  <w:style w:type="character" w:customStyle="1" w:styleId="lfejChar">
    <w:name w:val="Élőfej Char"/>
    <w:basedOn w:val="Bekezdsalapbettpusa"/>
    <w:link w:val="lfej"/>
    <w:uiPriority w:val="99"/>
    <w:semiHidden/>
    <w:rsid w:val="00A460C8"/>
    <w:rPr>
      <w:lang w:val="it-IT"/>
    </w:rPr>
  </w:style>
  <w:style w:type="paragraph" w:styleId="llb">
    <w:name w:val="footer"/>
    <w:basedOn w:val="Norml"/>
    <w:link w:val="llbChar"/>
    <w:uiPriority w:val="99"/>
    <w:semiHidden/>
    <w:unhideWhenUsed/>
    <w:rsid w:val="00A460C8"/>
    <w:pPr>
      <w:tabs>
        <w:tab w:val="center" w:pos="4513"/>
        <w:tab w:val="right" w:pos="9026"/>
      </w:tabs>
      <w:spacing w:after="0" w:line="240" w:lineRule="auto"/>
    </w:pPr>
  </w:style>
  <w:style w:type="character" w:customStyle="1" w:styleId="llbChar">
    <w:name w:val="Élőláb Char"/>
    <w:basedOn w:val="Bekezdsalapbettpusa"/>
    <w:link w:val="llb"/>
    <w:uiPriority w:val="99"/>
    <w:semiHidden/>
    <w:rsid w:val="00A460C8"/>
    <w:rPr>
      <w:lang w:val="it-IT"/>
    </w:rPr>
  </w:style>
  <w:style w:type="character" w:styleId="Feloldatlanmegemlts">
    <w:name w:val="Unresolved Mention"/>
    <w:basedOn w:val="Bekezdsalapbettpusa"/>
    <w:uiPriority w:val="99"/>
    <w:semiHidden/>
    <w:unhideWhenUsed/>
    <w:rsid w:val="00150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rkas.beata.god@uni-mate.hu"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AA211-5527-46D3-BF36-04F2A96884F8}">
  <ds:schemaRef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731B2A78-C239-404C-AB78-9FBEFAB7E0D4}">
  <ds:schemaRefs>
    <ds:schemaRef ds:uri="http://schemas.openxmlformats.org/officeDocument/2006/bibliography"/>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1692</Words>
  <Characters>11675</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13341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Farkas Beáta</cp:lastModifiedBy>
  <cp:revision>3</cp:revision>
  <cp:lastPrinted>2021-02-09T14:36:00Z</cp:lastPrinted>
  <dcterms:created xsi:type="dcterms:W3CDTF">2022-09-07T09:57:00Z</dcterms:created>
  <dcterms:modified xsi:type="dcterms:W3CDTF">2022-09-07T10:01:00Z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